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AC" w:rsidRPr="00E701AC" w:rsidRDefault="00E701AC" w:rsidP="00E701AC">
      <w:pPr>
        <w:spacing w:after="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</w:pPr>
      <w:r w:rsidRPr="00E701AC">
        <w:rPr>
          <w:rFonts w:ascii="Georgia" w:eastAsia="Times New Roman" w:hAnsi="Georgia" w:cs="Times New Roman"/>
          <w:b/>
          <w:bCs/>
          <w:color w:val="004488"/>
          <w:kern w:val="36"/>
          <w:sz w:val="36"/>
          <w:szCs w:val="36"/>
          <w:lang w:eastAsia="ru-RU"/>
        </w:rPr>
        <w:t>О деятельности по реализации показателей Целей устойчивого развития (ЦУР)</w:t>
      </w:r>
    </w:p>
    <w:p w:rsidR="00E701AC" w:rsidRPr="00E701AC" w:rsidRDefault="00E701AC" w:rsidP="00E701AC">
      <w:pPr>
        <w:spacing w:after="0" w:line="360" w:lineRule="atLeast"/>
        <w:textAlignment w:val="baseline"/>
        <w:rPr>
          <w:rFonts w:ascii="Arial" w:eastAsia="Times New Roman" w:hAnsi="Arial" w:cs="Arial"/>
          <w:color w:val="333333"/>
          <w:lang w:eastAsia="ru-RU"/>
        </w:rPr>
      </w:pPr>
      <w:hyperlink r:id="rId5" w:tooltip="00:46" w:history="1">
        <w:r>
          <w:rPr>
            <w:rFonts w:ascii="Arial" w:eastAsia="Times New Roman" w:hAnsi="Arial" w:cs="Arial"/>
            <w:color w:val="555555"/>
            <w:u w:val="single"/>
            <w:lang w:eastAsia="ru-RU"/>
          </w:rPr>
          <w:t>22</w:t>
        </w:r>
        <w:r w:rsidRPr="00E701AC">
          <w:rPr>
            <w:rFonts w:ascii="Arial" w:eastAsia="Times New Roman" w:hAnsi="Arial" w:cs="Arial"/>
            <w:color w:val="555555"/>
            <w:u w:val="single"/>
            <w:lang w:eastAsia="ru-RU"/>
          </w:rPr>
          <w:t>.11.2018</w:t>
        </w:r>
      </w:hyperlink>
      <w:r w:rsidRPr="00E701AC">
        <w:rPr>
          <w:rFonts w:ascii="Arial" w:eastAsia="Times New Roman" w:hAnsi="Arial" w:cs="Arial"/>
          <w:color w:val="333333"/>
          <w:lang w:eastAsia="ru-RU"/>
        </w:rPr>
        <w:t xml:space="preserve">  </w:t>
      </w:r>
      <w:hyperlink r:id="rId6" w:history="1">
        <w:r w:rsidRPr="00E701AC">
          <w:rPr>
            <w:rFonts w:ascii="Arial" w:eastAsia="Times New Roman" w:hAnsi="Arial" w:cs="Arial"/>
            <w:color w:val="555555"/>
            <w:u w:val="single"/>
            <w:lang w:eastAsia="ru-RU"/>
          </w:rPr>
          <w:t>Здоровый образ жизни</w:t>
        </w:r>
      </w:hyperlink>
    </w:p>
    <w:p w:rsidR="00E701AC" w:rsidRPr="00E701AC" w:rsidRDefault="00E701AC" w:rsidP="00E701AC">
      <w:pPr>
        <w:spacing w:after="0" w:line="384" w:lineRule="atLeast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19050" t="0" r="0" b="0"/>
            <wp:docPr id="1" name="Рисунок 1" descr="http://ostroveccge.grodno.by/wp-content/uploads/2018/03/0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troveccge.grodno.by/wp-content/uploads/2018/03/01-300x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2015 году Генеральная Ассамблея ООН при рассмотрении «Повестки дня в области устойчивого развития на период до 2030 года» утвердила Цели устойчивого развития (далее – ЦУР).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Перечень ЦУР представлен ниже.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рамках ведущейся в Беларуси работы по достижению ЦУР был принят ряд государственных программных документов, выстроена архитектура управления достижением ЦУР.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Цели устойчивого развития отражены в «Национальной стратегии устойчивого социально-экономического развития Республики Беларусь до 2030 года», одобренной Президиумом Совета Министров Республики Беларусь (протокол заседания от 2 мая 2017 года № 10).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Указом Президента Республики Беларусь от 25.05.2017 № 181«О Национальном координаторе по достижению Целей устойчивого развития»:</w:t>
      </w:r>
    </w:p>
    <w:p w:rsidR="00E701AC" w:rsidRPr="00E701AC" w:rsidRDefault="00E701AC" w:rsidP="00E701AC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определен Перечень государственных органов и иных организаций, ответственных за реализацию ЦУР (в т.ч. Министерство здравоохранения Республики Беларусь), включая областные и Минский городской исполнительные комитеты;</w:t>
      </w:r>
    </w:p>
    <w:p w:rsidR="00E701AC" w:rsidRPr="00E701AC" w:rsidRDefault="00E701AC" w:rsidP="00E701AC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Национальным координатором по достижению ЦУР назначена заместитель </w:t>
      </w:r>
      <w:proofErr w:type="gram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Председателя Совета Республики Национального собрания Республики</w:t>
      </w:r>
      <w:proofErr w:type="gram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Беларусь </w:t>
      </w:r>
      <w:proofErr w:type="spell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М.А.Щеткина</w:t>
      </w:r>
      <w:proofErr w:type="spell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;</w:t>
      </w:r>
    </w:p>
    <w:p w:rsidR="00E701AC" w:rsidRPr="00E701AC" w:rsidRDefault="00E701AC" w:rsidP="00E701AC">
      <w:pPr>
        <w:numPr>
          <w:ilvl w:val="0"/>
          <w:numId w:val="1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утверждено Положение о Национальном координаторе по достижению Целей устойчивого развития (далее – Положение).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Согласно Положению, Национальный координатор возглавляет Совет по устойчивому развитию (далее – Совет), который является совещательным и консультативным органом.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состав Совета входят заместители руководителей государственных органов и иных организаций, ответственных за реализацию ЦУР.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t>От Министерства здравоохранения Республики Беларусь в состав Совета входит заместитель Министра – Главный государственный санитарный врач Республики Беларусь Н.П.Жукова.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На основании предложений органов государственного управления и иных государственных организаций Советом сформирована национальная система показателей для мониторинга достижения ЦУР. В настоящее время проводится организационная работа по национализации показателей ЦУР путем интеграции последних в национальные, государственные, республиканские, отраслевые и региональные стратегии, программы и планы развития, определяющие работу Правительства, центральных и местных органов власти.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Для интеграции национальных показателей ответственные государственные органы и иные организации адаптируют показатели ЦУР к своей деятельности, для чего:</w:t>
      </w:r>
    </w:p>
    <w:p w:rsidR="00E701AC" w:rsidRPr="00E701AC" w:rsidRDefault="00E701AC" w:rsidP="00E701AC">
      <w:pPr>
        <w:numPr>
          <w:ilvl w:val="0"/>
          <w:numId w:val="2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по каждому закрепленному (делегированному) показателю определяют систему для мониторинга достижения ЦУР;</w:t>
      </w:r>
    </w:p>
    <w:p w:rsidR="00E701AC" w:rsidRPr="00E701AC" w:rsidRDefault="00E701AC" w:rsidP="00E701AC">
      <w:pPr>
        <w:numPr>
          <w:ilvl w:val="0"/>
          <w:numId w:val="2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внедряют показатели ЦУР в систему планирования и прогнозирования работы ведомства;</w:t>
      </w:r>
    </w:p>
    <w:p w:rsidR="00E701AC" w:rsidRPr="00E701AC" w:rsidRDefault="00E701AC" w:rsidP="00E701AC">
      <w:pPr>
        <w:numPr>
          <w:ilvl w:val="0"/>
          <w:numId w:val="2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создают систему работы подчиненных организаций по выполнению показателей ЦУР, включая механизм организационно-методического обеспечения и контроля;</w:t>
      </w:r>
    </w:p>
    <w:p w:rsidR="00E701AC" w:rsidRPr="00E701AC" w:rsidRDefault="00E701AC" w:rsidP="00E701AC">
      <w:pPr>
        <w:numPr>
          <w:ilvl w:val="0"/>
          <w:numId w:val="2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определяют области межведомственного взаимодействия для реализации показателей ЦУР.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Интеграция компоненты здоровья в модель устойчивого развития заложена в ЦУР № 3 «Хорошее здоровье и благополучие (Обеспечение здорового образа жизни и содействие благополучию для всех в любом возрасте)». Для реализации этой цели предстоит решение целого ряда задач (приложение).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Для организации реализации ЦУР в Министерстве здравоохранения Республики Беларусь создан Методический совет по мониторингу и оценке устойчивости развития, утверждено Положение о методическом совете (приказ Министерства здравоохранения Республики Беларусь от 21.11.2017 № 1332) и определены индикаторы Показателей ЦУР.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Санитарно-эпидемиологической службе для организации реализации ЦУР в области профилактики болезней и формированию здорового образа жизни делегирован мониторинг 7 индикаторов, определенных на национальном уровне: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Показатель 3.3.1.1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«Число новых заражений ВИЧ (оценочное количество) на 1000 неинфицированных в разбивке по полу и возрасту»;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Показатель 3.3.3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«Заболеваемость малярией на 1000 человек»: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Показатель 3.3.4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«Заболеваемость гепатитом</w:t>
      </w:r>
      <w:proofErr w:type="gram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В</w:t>
      </w:r>
      <w:proofErr w:type="gram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на 100 000 человек»: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Показатель 3.9.1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«Смертность от загрязнения воздуха в жилых помещениях и атмосферного воздуха»;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Показатель 3.9.2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: </w:t>
      </w:r>
      <w:proofErr w:type="gram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«Смертность от отсутствия безопасной воды, безопасной санитарии и гигиены (от отсутствия безопасных услуг в области водоснабжения, санитарии и гигиены (ВССГ) для всех»;</w:t>
      </w:r>
      <w:proofErr w:type="gramEnd"/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Показатель 3.b.1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«Доля целевой группы населения, охваченная иммунизацией всеми вакцинами, включенными в национальные программы»;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lastRenderedPageBreak/>
        <w:t>Показатель 3.d.1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«Способность соблюдать Международные медико-санитарные правила (ММСП) и готовность к чрезвычайным ситуациям в области общественного здравоохранения»;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Прорабатывается вопрос об участии </w:t>
      </w:r>
      <w:proofErr w:type="spell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санэпидслужбы</w:t>
      </w:r>
      <w:proofErr w:type="spell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в формировании индикаторов следующих показателей: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Показатель 11.6.2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«Среднегодовой уровень содержания мелких твердых частиц (класса PM10) в атмосфере отдельных городов (в пересчете на численность населения)»;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Показатель 11.7.1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: «Средняя доля застроенной городской территории, относящейся к открытым для всех общественным местам, с указанием доступности в разбивке по полу, возрасту и признаку инвалидности»;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Показатель 7.1.2: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«Доступ к чистым и источникам энергии и технологиям в быту».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proofErr w:type="gram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Приказом по государственному учреждению «Республиканский центр гигиены, эпидемиологии и общественного здоровья» от 15 января 2018 года № 08-ОД) определен состав специалистов в ГУ </w:t>
      </w:r>
      <w:proofErr w:type="spell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РЦГЭиОЗ</w:t>
      </w:r>
      <w:proofErr w:type="spell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, ответственных за сбор данных, анализ, подготовку отчета по показателям ЦУР; возложена ответственность на отделение социально-гигиенического мониторинга за обеспечение подготовки сводной информации, организацию планирования и подготовку предложений деятельности </w:t>
      </w:r>
      <w:proofErr w:type="spell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санэпидслужбы</w:t>
      </w:r>
      <w:proofErr w:type="spell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по вопросам реализации и достижения ЦУР.</w:t>
      </w:r>
      <w:proofErr w:type="gramEnd"/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На областном и территориальном уровнях </w:t>
      </w:r>
      <w:proofErr w:type="spell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госсаннадзора</w:t>
      </w:r>
      <w:proofErr w:type="spell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начата организация взаимодействия с местными органами государственного управления по выполнению социально-экономических планов устойчивого развития с целью отражения в них вопросов профилактики инфекционных и массовых неинфекционных заболеваний, а также по формированию у проживающего населения здорового образа жизни.</w:t>
      </w:r>
    </w:p>
    <w:p w:rsidR="00E701AC" w:rsidRPr="00E701AC" w:rsidRDefault="00E701AC" w:rsidP="00E701AC">
      <w:pPr>
        <w:spacing w:before="180" w:after="18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proofErr w:type="gram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Организационно-методическое и информационно-технологическое сопровождение работы ЦГЭ с показателями ЦУР рекомендуется обеспечивать в рамках подходов, определяемых «Концепцией совершенствования деятельности органов и учреждений, осуществляющих государственный санитарный надзор в области профилактики неинфекционных заболеваний и формирования здорового образа жизни», рассмотренной на Республиканском санитарно-эпидемиологическом совете от 26 июля 2017 года (решение № 5) и принятой для утверждения в установленном порядке постановлением коллегии Министерства здравоохранения Республики Беларусь</w:t>
      </w:r>
      <w:proofErr w:type="gram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от 3 октября 2017 года № 20.3 «О деятельности организаций здравоохранения по формированию здорового образа жизни».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ЦЕЛИ УСТОЙЧИВОГО РАЗВИТИЯ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1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Повсеместная ликвидация нищеты во всех ее формах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2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. Ликвидация голода, обеспечение продовольственной безопасности и улучшение </w:t>
      </w:r>
      <w:proofErr w:type="gram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питания</w:t>
      </w:r>
      <w:proofErr w:type="gram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 содействие устойчивому развитию сельского хозяйства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3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Обеспечение здорового образа жизни и содействие благополучию для всех в любом возрасте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4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Обеспечение всеохватного и справедливого качественного образования и поощрение возможности обучения на протяжении всей жизни для всех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5.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 Обеспечение </w:t>
      </w:r>
      <w:proofErr w:type="spell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гендерного</w:t>
      </w:r>
      <w:proofErr w:type="spell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равенства и расширение прав и возможностей для всех женщин и девочек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6.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Обеспечение наличия и рационального использования водных ресурсов и санитарии для всех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lastRenderedPageBreak/>
        <w:t>Цель 7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Обеспечение всеобщего доступа к недорогим, надежным, устойчивым и современным источникам энергии для всех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8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9.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Создание стойкой инфраструктуры, содействие всеохватной и устойчивой индустриализации и инновациям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10. 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Сокращение неравенства внутри стран и между ними.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11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Обеспечение открытости, безопасности, жизнестойкости и экологической устойчивости городов и населенных пунктов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12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Обеспечение перехода к рациональным моделям потребления и производства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13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Принятие срочных мер по борьбе с изменениями климата и его последствиями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14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Сохранение и рациональное использование океанов, морей и морских ресурсов в интересах устойчивого развития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15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. Защита и восстановление экосистем </w:t>
      </w:r>
      <w:proofErr w:type="gram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суши</w:t>
      </w:r>
      <w:proofErr w:type="gram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</w:t>
      </w:r>
      <w:proofErr w:type="spell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биоразнообразия</w:t>
      </w:r>
      <w:proofErr w:type="spellEnd"/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16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Цель 17</w:t>
      </w: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 Укрепление средств осуществления и активизация работы в рамках Глобального партнерства в интересах устойчивого развития</w:t>
      </w:r>
    </w:p>
    <w:p w:rsidR="00E701AC" w:rsidRPr="00E701AC" w:rsidRDefault="00E701AC" w:rsidP="00E701AC">
      <w:pPr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inherit" w:eastAsia="Times New Roman" w:hAnsi="inherit" w:cs="Arial"/>
          <w:b/>
          <w:bCs/>
          <w:color w:val="111111"/>
          <w:sz w:val="18"/>
          <w:lang w:eastAsia="ru-RU"/>
        </w:rPr>
        <w:t>ЗАДАЧИ ЦЕЛИ № 3 «Обеспечение здорового образа жизни и содействие благополучию для всех в любом возрасте»: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сократить общемировой показатель материнской смертности;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положить конец предотвратимой смертности новорожденных детей и детей в возрасте до 5 лет;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положить конец эпидемиям </w:t>
      </w:r>
      <w:proofErr w:type="spellStart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СПИДа</w:t>
      </w:r>
      <w:proofErr w:type="spellEnd"/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 туберкулеза, обеспечить борьбу с гепатитом, болезнями, передающимися через воду, и другими инфекционными патологиями;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сократить на одну треть показатель преждевременной смертности от неинфекционных заболеваний (НИЗ) с помощью профилактики, лечения и поддержания психического здоровья и благополучия;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укреплять профилактику и лечение наркомании (в т.ч. злоупотребление алкоголем);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вдвое сократить число смертей и травм в результате ДТП;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обеспечить всеобщий доступ к услугам по охране репродуктивного здоровья (в т.ч. для планирования семьи, получения информации и просвещения), учесть вопросы охраны репродуктивного здоровья в национальных стратегиях и программах;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обеспечить всеобщий охват услугами здравоохранения, доступ к качественным медико-санитарным услугам, безопасным, эффективным, доступным основным лекарствам и вакцинам;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lastRenderedPageBreak/>
        <w:t>существенно сократить число случаев смерти и заболеваний в результате воздействия опасных химических веществ, загрязнения воздуха, воды и почвы;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расширить реализацию Рамочной конвенции ВОЗ по борьбе против табака во всех странах;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оказать поддержку в проведении научных исследований и разработке вакцин и лекарственных препаратов для лечения инфекционных и неинфекционных заболеваний;</w:t>
      </w:r>
    </w:p>
    <w:p w:rsidR="00E701AC" w:rsidRPr="00E701AC" w:rsidRDefault="00E701AC" w:rsidP="00E701AC">
      <w:pPr>
        <w:numPr>
          <w:ilvl w:val="0"/>
          <w:numId w:val="3"/>
        </w:numPr>
        <w:spacing w:after="0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увеличить объем финансирования сферы здравоохранения, обеспечить дальнейший набор, подготовку и удержание медицинских кадров в развивающихся странах;</w:t>
      </w:r>
    </w:p>
    <w:p w:rsidR="00E701AC" w:rsidRPr="00E701AC" w:rsidRDefault="00E701AC" w:rsidP="00E701AC">
      <w:pPr>
        <w:numPr>
          <w:ilvl w:val="0"/>
          <w:numId w:val="3"/>
        </w:numPr>
        <w:spacing w:after="96" w:line="384" w:lineRule="atLeast"/>
        <w:ind w:left="480"/>
        <w:jc w:val="both"/>
        <w:textAlignment w:val="baseline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E701AC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наращивать потенциал раннего предупреждения и снижения рисков для здоровья.</w:t>
      </w:r>
    </w:p>
    <w:p w:rsidR="00681AD5" w:rsidRDefault="00681AD5"/>
    <w:sectPr w:rsidR="00681AD5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53A3E"/>
    <w:multiLevelType w:val="multilevel"/>
    <w:tmpl w:val="3CB2D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D24A0"/>
    <w:multiLevelType w:val="multilevel"/>
    <w:tmpl w:val="E5A81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C449B3"/>
    <w:multiLevelType w:val="multilevel"/>
    <w:tmpl w:val="3DF6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1AC"/>
    <w:rsid w:val="000D456B"/>
    <w:rsid w:val="00681AD5"/>
    <w:rsid w:val="006943E4"/>
    <w:rsid w:val="00B37A62"/>
    <w:rsid w:val="00C01AA2"/>
    <w:rsid w:val="00E7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paragraph" w:styleId="1">
    <w:name w:val="heading 1"/>
    <w:basedOn w:val="a"/>
    <w:link w:val="10"/>
    <w:uiPriority w:val="9"/>
    <w:qFormat/>
    <w:rsid w:val="00E70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E701AC"/>
  </w:style>
  <w:style w:type="character" w:styleId="a3">
    <w:name w:val="Hyperlink"/>
    <w:basedOn w:val="a0"/>
    <w:uiPriority w:val="99"/>
    <w:semiHidden/>
    <w:unhideWhenUsed/>
    <w:rsid w:val="00E701AC"/>
    <w:rPr>
      <w:color w:val="0000FF"/>
      <w:u w:val="single"/>
    </w:rPr>
  </w:style>
  <w:style w:type="character" w:customStyle="1" w:styleId="meta-category">
    <w:name w:val="meta-category"/>
    <w:basedOn w:val="a0"/>
    <w:rsid w:val="00E701AC"/>
  </w:style>
  <w:style w:type="paragraph" w:styleId="a4">
    <w:name w:val="Normal (Web)"/>
    <w:basedOn w:val="a"/>
    <w:uiPriority w:val="99"/>
    <w:semiHidden/>
    <w:unhideWhenUsed/>
    <w:rsid w:val="00E70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01A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267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troveccge.grodno.by/category/zdorovyj-obraz-zhizni/" TargetMode="External"/><Relationship Id="rId5" Type="http://schemas.openxmlformats.org/officeDocument/2006/relationships/hyperlink" Target="http://ostroveccge.grodno.by/2018/11/15/o-deyatelnosti-po-realizacii-pokazatelej-celej-ustojchivogo-razvitiya-cu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1592</Words>
  <Characters>9075</Characters>
  <Application>Microsoft Office Word</Application>
  <DocSecurity>0</DocSecurity>
  <Lines>75</Lines>
  <Paragraphs>21</Paragraphs>
  <ScaleCrop>false</ScaleCrop>
  <Company>Microsoft</Company>
  <LinksUpToDate>false</LinksUpToDate>
  <CharactersWithSpaces>10646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2018-11-22T12:08:00Z</dcterms:created>
  <dcterms:modified xsi:type="dcterms:W3CDTF">2018-11-22T12:10:00Z</dcterms:modified>
</cp:coreProperties>
</file>